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1348210">
                <wp:simplePos x="0" y="0"/>
                <wp:positionH relativeFrom="margin">
                  <wp:posOffset>2642870</wp:posOffset>
                </wp:positionH>
                <wp:positionV relativeFrom="paragraph">
                  <wp:posOffset>2540</wp:posOffset>
                </wp:positionV>
                <wp:extent cx="2994660" cy="209931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1ADAA73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6C1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5724A602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6C1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Miguel Raygoza Mejía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51182C56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Comisión de Afiliación del Consejo Nacional del PAN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1pt;margin-top:.2pt;width:235.8pt;height:1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1ADAA73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6C1917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5724A602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6C1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Miguel Raygoza Mejía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51182C56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1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Comisión de Afiliación del Consejo Nacional del PAN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1C35A741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6C1917">
        <w:rPr>
          <w:rFonts w:ascii="Arial" w:eastAsia="Times New Roman" w:hAnsi="Arial" w:cs="Arial"/>
          <w:bCs/>
          <w:sz w:val="24"/>
          <w:szCs w:val="24"/>
          <w:lang w:eastAsia="es-MX"/>
        </w:rPr>
        <w:t>546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6C1917">
        <w:rPr>
          <w:rFonts w:ascii="Arial" w:eastAsia="Times New Roman" w:hAnsi="Arial" w:cs="Arial"/>
          <w:bCs/>
          <w:sz w:val="24"/>
          <w:szCs w:val="24"/>
          <w:lang w:eastAsia="es-MX"/>
        </w:rPr>
        <w:t>treinta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BC7644" w14:paraId="398890A8" w14:textId="77777777" w:rsidTr="006C1917">
        <w:tc>
          <w:tcPr>
            <w:tcW w:w="5240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3588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6C1917">
        <w:tc>
          <w:tcPr>
            <w:tcW w:w="5240" w:type="dxa"/>
          </w:tcPr>
          <w:p w14:paraId="47223FF1" w14:textId="6F3AD34A" w:rsidR="00BC7644" w:rsidRPr="007D1034" w:rsidRDefault="006C191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Informe circunstanciado signado por la C. Adriana Gabriela Ceballos Hernández, en su calidad de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 la Comisión de Afiliación del Consejo Nacional del PAN,</w:t>
            </w:r>
            <w:r w:rsidR="003A1D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por el que se remite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expediente aperturado con motivo de la presentación de un juicio de la ciudadanía</w:t>
            </w:r>
            <w:r w:rsidR="003A1D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588" w:type="dxa"/>
          </w:tcPr>
          <w:p w14:paraId="07FBE243" w14:textId="791394AA" w:rsidR="00BC7644" w:rsidRPr="00F92EEF" w:rsidRDefault="006C191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Omisión de resolver el procedimiento de inconformidad, relativo a la negativa de afiliación al PAN.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7E7D3CD7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0F7D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</w:t>
      </w:r>
      <w:r w:rsidR="006C191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reinta</w:t>
      </w:r>
      <w:r w:rsidR="00F816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3C89E472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10</w:t>
      </w:r>
      <w:r w:rsidR="006C191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0501F2AE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ED602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F5D93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ED6020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D6020">
        <w:rPr>
          <w:rFonts w:ascii="Arial" w:eastAsia="Times New Roman" w:hAnsi="Arial" w:cs="Arial"/>
          <w:sz w:val="24"/>
          <w:szCs w:val="24"/>
          <w:lang w:eastAsia="es-MX"/>
        </w:rPr>
        <w:t xml:space="preserve">suscrita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ED602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D602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3F5D9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6C1917">
    <w:pPr>
      <w:pStyle w:val="Piedepgina"/>
      <w:jc w:val="right"/>
    </w:pPr>
  </w:p>
  <w:p w14:paraId="6F882EB5" w14:textId="77777777" w:rsidR="00F71849" w:rsidRDefault="006C1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6C191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6C191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6C1917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6C1917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6C1917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6C1917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A3B51"/>
    <w:rsid w:val="002E5AEC"/>
    <w:rsid w:val="003A1D5F"/>
    <w:rsid w:val="003F5D93"/>
    <w:rsid w:val="00417A26"/>
    <w:rsid w:val="00563127"/>
    <w:rsid w:val="005A2705"/>
    <w:rsid w:val="006C1917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E72D51"/>
    <w:rsid w:val="00E977CE"/>
    <w:rsid w:val="00ED6020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10</cp:revision>
  <cp:lastPrinted>2021-04-30T20:33:00Z</cp:lastPrinted>
  <dcterms:created xsi:type="dcterms:W3CDTF">2021-03-07T18:55:00Z</dcterms:created>
  <dcterms:modified xsi:type="dcterms:W3CDTF">2021-04-30T20:35:00Z</dcterms:modified>
</cp:coreProperties>
</file>